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F259" w14:textId="3DDCAC98" w:rsid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8"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7559944E" w14:textId="77777777" w:rsidR="006D24A0" w:rsidRPr="004C3AAC" w:rsidRDefault="006D24A0" w:rsidP="006D24A0">
            <w:pPr>
              <w:jc w:val="both"/>
              <w:rPr>
                <w:rFonts w:eastAsia="Calibri" w:cstheme="minorHAnsi"/>
                <w:bCs/>
                <w:color w:val="FF0000"/>
              </w:rPr>
            </w:pPr>
          </w:p>
          <w:p w14:paraId="76C0A136" w14:textId="0EAE31F9" w:rsidR="006D24A0" w:rsidRDefault="006D24A0" w:rsidP="00821272">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821272" w:rsidRPr="00821272">
              <w:rPr>
                <w:rFonts w:eastAsia="Calibri" w:cstheme="minorHAnsi"/>
                <w:bCs/>
              </w:rPr>
              <w:t xml:space="preserve">Sussex </w:t>
            </w:r>
            <w:r w:rsidRPr="00821272">
              <w:rPr>
                <w:rFonts w:eastAsia="Calibri" w:cstheme="minorHAnsi"/>
                <w:bCs/>
              </w:rPr>
              <w:t>ICB</w:t>
            </w:r>
          </w:p>
        </w:tc>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9"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2F36063A" w:rsidR="006D24A0" w:rsidRDefault="006D24A0" w:rsidP="006D24A0">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p>
        </w:tc>
      </w:tr>
      <w:tr w:rsidR="006D24A0" w:rsidRPr="00954E04" w14:paraId="7FB06914" w14:textId="77777777" w:rsidTr="00AD412F">
        <w:tc>
          <w:tcPr>
            <w:tcW w:w="2972" w:type="dxa"/>
          </w:tcPr>
          <w:p w14:paraId="2B0F9970" w14:textId="77777777" w:rsidR="006D24A0" w:rsidRPr="00954E04" w:rsidRDefault="006D24A0" w:rsidP="006D24A0">
            <w:pPr>
              <w:rPr>
                <w:rFonts w:eastAsia="Calibri" w:cstheme="minorHAnsi"/>
                <w:bCs/>
              </w:rPr>
            </w:pPr>
            <w:r w:rsidRPr="00954E04">
              <w:rPr>
                <w:rFonts w:eastAsia="Calibri" w:cstheme="minorHAnsi"/>
                <w:bCs/>
              </w:rPr>
              <w:t>Research</w:t>
            </w: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lastRenderedPageBreak/>
              <w:t>Where personal confidential data is shared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46C3BABC" w:rsidR="006D24A0" w:rsidRDefault="006D24A0" w:rsidP="006D24A0">
            <w:pPr>
              <w:pStyle w:val="ListParagraph"/>
              <w:numPr>
                <w:ilvl w:val="0"/>
                <w:numId w:val="7"/>
              </w:numPr>
              <w:jc w:val="both"/>
              <w:rPr>
                <w:rFonts w:cstheme="minorHAnsi"/>
                <w:bCs/>
              </w:rPr>
            </w:pPr>
            <w:r>
              <w:rPr>
                <w:rFonts w:cstheme="minorHAnsi"/>
                <w:bCs/>
              </w:rPr>
              <w:t>Articles 6(1)(a)</w:t>
            </w:r>
            <w:r w:rsidR="00211D4E">
              <w:rPr>
                <w:rFonts w:cstheme="minorHAnsi"/>
                <w:bCs/>
              </w:rPr>
              <w:t xml:space="preserve"> and 9(1)(a) – explicit consent; or</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w:t>
            </w:r>
            <w:proofErr w:type="gramStart"/>
            <w:r w:rsidRPr="00D608F7">
              <w:rPr>
                <w:rFonts w:cstheme="minorHAnsi"/>
                <w:bCs/>
              </w:rPr>
              <w:t>)(</w:t>
            </w:r>
            <w:proofErr w:type="gramEnd"/>
            <w:r w:rsidRPr="00D608F7">
              <w:rPr>
                <w:rFonts w:cstheme="minorHAnsi"/>
                <w:bCs/>
              </w:rPr>
              <w:t>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Sharing of aggregated non identifiable data is permitted.</w:t>
            </w:r>
          </w:p>
          <w:p w14:paraId="6C8852B7" w14:textId="77777777" w:rsidR="006D24A0" w:rsidRDefault="006D24A0" w:rsidP="006D24A0">
            <w:pPr>
              <w:jc w:val="both"/>
              <w:rPr>
                <w:rFonts w:eastAsia="Calibri" w:cstheme="minorHAnsi"/>
                <w:b/>
                <w:bCs/>
              </w:rPr>
            </w:pPr>
          </w:p>
          <w:p w14:paraId="44DA2453" w14:textId="35B2F604" w:rsidR="006D24A0" w:rsidRPr="00954E04" w:rsidRDefault="006D24A0" w:rsidP="006D24A0">
            <w:pPr>
              <w:jc w:val="both"/>
              <w:rPr>
                <w:rFonts w:eastAsia="Calibri" w:cstheme="minorHAnsi"/>
                <w:b/>
                <w:bCs/>
              </w:rPr>
            </w:pPr>
            <w:r>
              <w:rPr>
                <w:rFonts w:eastAsia="Calibri" w:cstheme="minorHAnsi"/>
                <w:b/>
                <w:bCs/>
              </w:rPr>
              <w:t xml:space="preserve">Processor – </w:t>
            </w:r>
            <w:r w:rsidR="00821272">
              <w:rPr>
                <w:rFonts w:eastAsia="Calibri" w:cstheme="minorHAnsi"/>
                <w:bCs/>
              </w:rPr>
              <w:t>Not applicable at this time</w:t>
            </w:r>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lastRenderedPageBreak/>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606B3285" w14:textId="3B249857" w:rsidR="006D24A0" w:rsidRPr="00954E04" w:rsidRDefault="006D24A0" w:rsidP="00821272">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821272">
              <w:rPr>
                <w:rFonts w:eastAsia="Calibri" w:cstheme="minorHAnsi"/>
                <w:bCs/>
              </w:rPr>
              <w:t xml:space="preserve"> Sussex ICB</w:t>
            </w:r>
            <w:r w:rsidR="00821272" w:rsidRPr="00902769">
              <w:rPr>
                <w:rFonts w:eastAsia="Calibri" w:cstheme="minorHAnsi"/>
                <w:bCs/>
                <w:highlight w:val="yellow"/>
              </w:rPr>
              <w:t xml:space="preserve"> </w:t>
            </w: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lastRenderedPageBreak/>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0F338CE4" w:rsidR="006D24A0" w:rsidRPr="00954E04" w:rsidRDefault="006D24A0" w:rsidP="00821272">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821272">
              <w:rPr>
                <w:rFonts w:eastAsia="Calibri" w:cstheme="minorHAnsi"/>
                <w:bCs/>
              </w:rPr>
              <w:t>NHS Sussex</w:t>
            </w:r>
            <w:r w:rsidR="00821272" w:rsidRPr="00954E04">
              <w:rPr>
                <w:rFonts w:eastAsia="Calibri" w:cstheme="minorHAnsi"/>
                <w:bCs/>
                <w:highlight w:val="yellow"/>
              </w:rPr>
              <w:t xml:space="preserve"> </w:t>
            </w:r>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lastRenderedPageBreak/>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6D24A0" w:rsidRPr="00954E04" w:rsidRDefault="006D24A0" w:rsidP="006D24A0">
            <w:pPr>
              <w:jc w:val="both"/>
              <w:rPr>
                <w:rFonts w:eastAsia="Calibri" w:cstheme="minorHAnsi"/>
                <w:bCs/>
              </w:rPr>
            </w:pPr>
          </w:p>
          <w:p w14:paraId="327AB698" w14:textId="04309E3E" w:rsidR="006D24A0" w:rsidRPr="00954E04" w:rsidRDefault="006D24A0" w:rsidP="00821272">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821272">
              <w:rPr>
                <w:rFonts w:eastAsia="Calibri" w:cstheme="minorHAnsi"/>
                <w:bCs/>
              </w:rPr>
              <w:t xml:space="preserve"> NHS Sussex</w:t>
            </w:r>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t>Type of Data –</w:t>
            </w:r>
            <w:r w:rsidRPr="00954E04">
              <w:rPr>
                <w:rFonts w:cstheme="minorHAnsi"/>
              </w:rPr>
              <w:t xml:space="preserve"> Identifiable/</w:t>
            </w:r>
            <w:proofErr w:type="spellStart"/>
            <w:r w:rsidRPr="00954E04">
              <w:rPr>
                <w:rFonts w:cstheme="minorHAnsi"/>
              </w:rPr>
              <w:t>Pseudonymised</w:t>
            </w:r>
            <w:proofErr w:type="spellEnd"/>
            <w:r w:rsidRPr="00954E04">
              <w:rPr>
                <w:rFonts w:cstheme="minorHAnsi"/>
              </w:rPr>
              <w:t>/Anonymised/Aggregate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44EC788E" w:rsidR="006D24A0" w:rsidRPr="00954E04" w:rsidRDefault="006D24A0" w:rsidP="00821272">
            <w:pPr>
              <w:jc w:val="both"/>
              <w:rPr>
                <w:rFonts w:cstheme="minorHAnsi"/>
              </w:rPr>
            </w:pPr>
            <w:r w:rsidRPr="00954E04">
              <w:rPr>
                <w:rFonts w:cstheme="minorHAnsi"/>
                <w:b/>
                <w:lang w:val="en-US"/>
              </w:rPr>
              <w:t>Processors</w:t>
            </w:r>
            <w:r w:rsidRPr="00954E04">
              <w:rPr>
                <w:rFonts w:cstheme="minorHAnsi"/>
                <w:lang w:val="en-US"/>
              </w:rPr>
              <w:t xml:space="preserve"> – </w:t>
            </w:r>
            <w:r w:rsidR="00821272">
              <w:rPr>
                <w:rFonts w:eastAsia="Calibri" w:cstheme="minorHAnsi"/>
                <w:bCs/>
              </w:rPr>
              <w:t>NHS Sussex</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lastRenderedPageBreak/>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at: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77777777"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sidRPr="00AA0BD9">
              <w:rPr>
                <w:rFonts w:eastAsia="Calibri" w:cstheme="minorHAnsi"/>
                <w:bCs/>
              </w:rPr>
              <w:t>Identify where your Public Health are situated</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A3B209B" w14:textId="6E2B7BCE" w:rsidR="006D24A0" w:rsidRPr="00954E04" w:rsidRDefault="006D24A0" w:rsidP="00821272">
            <w:pPr>
              <w:jc w:val="both"/>
              <w:rPr>
                <w:rFonts w:eastAsia="Calibri" w:cstheme="minorHAnsi"/>
                <w:bCs/>
              </w:rPr>
            </w:pPr>
            <w:r w:rsidRPr="00954E04">
              <w:rPr>
                <w:rFonts w:cstheme="minorHAnsi"/>
                <w:b/>
              </w:rPr>
              <w:lastRenderedPageBreak/>
              <w:t>Processors</w:t>
            </w:r>
            <w:r w:rsidRPr="00954E04">
              <w:rPr>
                <w:rFonts w:cstheme="minorHAnsi"/>
              </w:rPr>
              <w:t xml:space="preserve"> –</w:t>
            </w:r>
            <w:r w:rsidR="00821272">
              <w:rPr>
                <w:rFonts w:cstheme="minorHAnsi"/>
              </w:rPr>
              <w:t xml:space="preserve"> East Sussex Healthcare Trust, Sussex Partnership Trust, Sussex Partnership Foundation Trust, UH Sussex NHS Foundation Trust, Sussex Premier Health, The </w:t>
            </w:r>
            <w:proofErr w:type="spellStart"/>
            <w:r w:rsidR="00821272">
              <w:rPr>
                <w:rFonts w:cstheme="minorHAnsi"/>
              </w:rPr>
              <w:t>Horder</w:t>
            </w:r>
            <w:proofErr w:type="spellEnd"/>
            <w:r w:rsidR="00821272">
              <w:rPr>
                <w:rFonts w:cstheme="minorHAnsi"/>
              </w:rPr>
              <w:t xml:space="preserve"> Centre, </w:t>
            </w:r>
            <w:proofErr w:type="spellStart"/>
            <w:r w:rsidR="00821272">
              <w:rPr>
                <w:rFonts w:cstheme="minorHAnsi"/>
              </w:rPr>
              <w:t>Benenden</w:t>
            </w:r>
            <w:proofErr w:type="spellEnd"/>
            <w:r w:rsidR="00821272">
              <w:rPr>
                <w:rFonts w:cstheme="minorHAnsi"/>
              </w:rPr>
              <w:t xml:space="preserve"> Healthcare, Kent Community Health NHS Foundation Trust. This list is non-exhaustive. </w:t>
            </w: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lastRenderedPageBreak/>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09A164AA"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w:t>
            </w:r>
            <w:r w:rsidR="00437C2E" w:rsidRPr="00437C2E">
              <w:rPr>
                <w:rFonts w:cstheme="minorHAnsi"/>
              </w:rPr>
              <w:t>processing is necessary for compliance with a legal obligation</w:t>
            </w:r>
            <w:r w:rsidR="00437C2E">
              <w:rPr>
                <w:rFonts w:cstheme="minorHAnsi"/>
              </w:rPr>
              <w:t>’;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t>Understand the health and care needs of the care system</w:t>
            </w:r>
            <w:r w:rsidR="002B05A9">
              <w:rPr>
                <w:rFonts w:eastAsia="Calibri" w:cstheme="minorHAnsi"/>
              </w:rPr>
              <w:t>’</w:t>
            </w:r>
            <w:r w:rsidRPr="002B05A9">
              <w:rPr>
                <w:rFonts w:eastAsia="Calibri" w:cstheme="minorHAnsi"/>
              </w:rPr>
              <w:t>s population, including health inequalities</w:t>
            </w:r>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Provide support to where it will have the most impact</w:t>
            </w:r>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Pr="00A126AF"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w:t>
            </w:r>
            <w:proofErr w:type="spellStart"/>
            <w:r w:rsidRPr="00A126AF">
              <w:rPr>
                <w:rFonts w:eastAsia="Calibri" w:cstheme="minorHAnsi"/>
              </w:rPr>
              <w:t>Pseudonymised</w:t>
            </w:r>
            <w:proofErr w:type="spellEnd"/>
            <w:r w:rsidRPr="00A126AF">
              <w:rPr>
                <w:rFonts w:eastAsia="Calibri" w:cstheme="minorHAnsi"/>
              </w:rPr>
              <w:t>/Anonymised/Aggregate Data.  NB only organisations that provide your care will see your identifiable data.</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77777777" w:rsidR="006D24A0" w:rsidRPr="00954E04" w:rsidRDefault="006D24A0" w:rsidP="006D24A0">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proofErr w:type="spellStart"/>
            <w:r w:rsidRPr="00821272">
              <w:rPr>
                <w:rFonts w:eastAsia="Calibri" w:cstheme="minorHAnsi"/>
              </w:rPr>
              <w:t>Optum</w:t>
            </w:r>
            <w:proofErr w:type="spellEnd"/>
            <w:r w:rsidRPr="00821272">
              <w:rPr>
                <w:rFonts w:eastAsia="Calibri" w:cstheme="minorHAnsi"/>
              </w:rPr>
              <w:t>, Cerner</w:t>
            </w:r>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w:t>
            </w:r>
            <w:r w:rsidRPr="00954E04">
              <w:rPr>
                <w:rFonts w:cstheme="minorHAnsi"/>
              </w:rPr>
              <w:lastRenderedPageBreak/>
              <w:t>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4417A12" w14:textId="733CC574" w:rsidR="003E1630" w:rsidRPr="003E1630" w:rsidRDefault="003E1630" w:rsidP="007D0FB5">
            <w:pPr>
              <w:pStyle w:val="ListParagraph"/>
              <w:numPr>
                <w:ilvl w:val="0"/>
                <w:numId w:val="1"/>
              </w:numPr>
              <w:autoSpaceDE w:val="0"/>
              <w:autoSpaceDN w:val="0"/>
              <w:rPr>
                <w:rFonts w:ascii="Calibri" w:hAnsi="Calibri" w:cs="Calibri"/>
              </w:rPr>
            </w:pPr>
            <w:r w:rsidRPr="003E1630">
              <w:rPr>
                <w:rFonts w:cstheme="minorHAnsi"/>
              </w:rPr>
              <w:t xml:space="preserve">Article 6(1)(c) </w:t>
            </w:r>
            <w:r>
              <w:rPr>
                <w:rFonts w:cstheme="minorHAnsi"/>
              </w:rPr>
              <w:t>‘</w:t>
            </w:r>
            <w:r w:rsidRPr="003E1630">
              <w:rPr>
                <w:rFonts w:cstheme="minorHAnsi"/>
              </w:rPr>
              <w:t>processing is necessary for compliance with a legal obligation to which the controller is subject</w:t>
            </w:r>
            <w:r>
              <w:rPr>
                <w:rFonts w:cstheme="minorHAnsi"/>
              </w:rPr>
              <w:t xml:space="preserve">’; and </w:t>
            </w:r>
          </w:p>
          <w:p w14:paraId="7B01E9D5" w14:textId="04118B9B"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w:t>
            </w:r>
            <w:proofErr w:type="gramStart"/>
            <w:r w:rsidRPr="007D0FB5">
              <w:rPr>
                <w:rFonts w:cstheme="minorHAnsi"/>
              </w:rPr>
              <w:t>)(</w:t>
            </w:r>
            <w:proofErr w:type="gramEnd"/>
            <w:r w:rsidRPr="007D0FB5">
              <w:rPr>
                <w:rFonts w:cstheme="minorHAnsi"/>
              </w:rPr>
              <w:t>h) ‘necessary for the purposes of preventative or occupational medicine</w:t>
            </w:r>
            <w:r w:rsidR="003E1630">
              <w:rPr>
                <w:rFonts w:cstheme="minorHAnsi"/>
              </w:rPr>
              <w:t>’.</w:t>
            </w:r>
          </w:p>
          <w:p w14:paraId="0ECAEF87" w14:textId="77777777" w:rsidR="006D24A0" w:rsidRPr="00954E04" w:rsidRDefault="006D24A0" w:rsidP="006D24A0">
            <w:pPr>
              <w:jc w:val="both"/>
              <w:rPr>
                <w:rFonts w:cstheme="minorHAnsi"/>
              </w:rPr>
            </w:pPr>
          </w:p>
          <w:p w14:paraId="1A53D5D4" w14:textId="77777777"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lastRenderedPageBreak/>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D6FDDFC"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w:t>
            </w:r>
            <w:proofErr w:type="gramStart"/>
            <w:r w:rsidRPr="007D0FB5">
              <w:rPr>
                <w:rFonts w:cstheme="minorHAnsi"/>
              </w:rPr>
              <w:t>)(</w:t>
            </w:r>
            <w:proofErr w:type="gramEnd"/>
            <w:r w:rsidRPr="007D0FB5">
              <w:rPr>
                <w:rFonts w:cstheme="minorHAnsi"/>
              </w:rPr>
              <w:t>h) ‘necessary for the purposes of preventative or occupational medicine</w:t>
            </w:r>
            <w:r>
              <w:rPr>
                <w:rFonts w:cstheme="minorHAnsi"/>
              </w:rPr>
              <w:t>’</w:t>
            </w:r>
            <w:r w:rsidR="003E1630">
              <w:rPr>
                <w:rFonts w:cstheme="minorHAnsi"/>
              </w:rPr>
              <w:t>.</w:t>
            </w:r>
          </w:p>
          <w:p w14:paraId="212851DE" w14:textId="77777777" w:rsidR="006D24A0" w:rsidRPr="00954E04" w:rsidRDefault="006D24A0" w:rsidP="006D24A0">
            <w:pPr>
              <w:jc w:val="both"/>
              <w:rPr>
                <w:rFonts w:cstheme="minorHAnsi"/>
              </w:rPr>
            </w:pPr>
          </w:p>
          <w:p w14:paraId="5493F448" w14:textId="68AEA388" w:rsidR="006D24A0" w:rsidRPr="00954E04" w:rsidRDefault="006D24A0" w:rsidP="00821272">
            <w:pPr>
              <w:jc w:val="both"/>
              <w:rPr>
                <w:rFonts w:eastAsia="Calibri" w:cstheme="minorHAnsi"/>
                <w:b/>
                <w:bCs/>
              </w:rPr>
            </w:pPr>
            <w:r w:rsidRPr="00954E04">
              <w:rPr>
                <w:rFonts w:cstheme="minorHAnsi"/>
                <w:b/>
              </w:rPr>
              <w:t>Processor</w:t>
            </w:r>
            <w:r w:rsidRPr="00954E04">
              <w:rPr>
                <w:rFonts w:cstheme="minorHAnsi"/>
              </w:rPr>
              <w:t xml:space="preserve"> – </w:t>
            </w:r>
            <w:r w:rsidR="00821272" w:rsidRPr="00821272">
              <w:rPr>
                <w:rFonts w:cstheme="minorHAnsi"/>
              </w:rPr>
              <w:t xml:space="preserve">EMIS </w:t>
            </w:r>
            <w:r>
              <w:rPr>
                <w:rFonts w:cstheme="minorHAnsi"/>
              </w:rPr>
              <w:t>And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lastRenderedPageBreak/>
              <w:t>Legal Basis</w:t>
            </w:r>
            <w:r w:rsidRPr="007D0FB5">
              <w:rPr>
                <w:rFonts w:ascii="Calibri" w:hAnsi="Calibri" w:cs="Calibri"/>
              </w:rPr>
              <w:t xml:space="preserve"> – </w:t>
            </w:r>
          </w:p>
          <w:p w14:paraId="162355AB" w14:textId="4D836794"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w:t>
            </w:r>
            <w:r w:rsidR="00C53F1F">
              <w:rPr>
                <w:rFonts w:cstheme="minorHAnsi"/>
              </w:rPr>
              <w:t>1)(a) – consent for personal data; and</w:t>
            </w:r>
          </w:p>
          <w:p w14:paraId="649A4707" w14:textId="36E5529C"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w:t>
            </w:r>
            <w:proofErr w:type="gramStart"/>
            <w:r w:rsidRPr="007D0FB5">
              <w:rPr>
                <w:rFonts w:cstheme="minorHAnsi"/>
              </w:rPr>
              <w:t>)(</w:t>
            </w:r>
            <w:proofErr w:type="gramEnd"/>
            <w:r w:rsidR="00C53F1F">
              <w:rPr>
                <w:rFonts w:cstheme="minorHAnsi"/>
              </w:rPr>
              <w:t>a</w:t>
            </w:r>
            <w:r w:rsidRPr="007D0FB5">
              <w:rPr>
                <w:rFonts w:cstheme="minorHAnsi"/>
              </w:rPr>
              <w:t xml:space="preserve">) </w:t>
            </w:r>
            <w:r w:rsidR="00C53F1F">
              <w:rPr>
                <w:rFonts w:cstheme="minorHAnsi"/>
              </w:rPr>
              <w:t>– explicit consent for special-category data.</w:t>
            </w:r>
          </w:p>
          <w:p w14:paraId="273A70C8" w14:textId="77777777" w:rsidR="006D24A0" w:rsidRPr="00954E04" w:rsidRDefault="006D24A0" w:rsidP="006D24A0">
            <w:pPr>
              <w:jc w:val="both"/>
              <w:rPr>
                <w:rFonts w:eastAsia="Calibri" w:cstheme="minorHAnsi"/>
                <w:b/>
                <w:bCs/>
              </w:rPr>
            </w:pPr>
          </w:p>
          <w:p w14:paraId="080581E6" w14:textId="16B390E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lastRenderedPageBreak/>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05628A77" w:rsidR="006D24A0" w:rsidRPr="00954E04" w:rsidRDefault="006D24A0" w:rsidP="00821272">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821272">
              <w:rPr>
                <w:rFonts w:eastAsia="Calibri" w:cstheme="minorHAnsi"/>
                <w:bCs/>
              </w:rPr>
              <w:t>Sussex ICB</w:t>
            </w:r>
          </w:p>
        </w:tc>
      </w:tr>
      <w:tr w:rsidR="006D24A0" w:rsidRPr="00954E04" w14:paraId="3E2E9822" w14:textId="77777777" w:rsidTr="00AD412F">
        <w:tc>
          <w:tcPr>
            <w:tcW w:w="2972" w:type="dxa"/>
          </w:tcPr>
          <w:p w14:paraId="6C9475BF" w14:textId="77777777" w:rsidR="006D24A0" w:rsidRPr="00954E04" w:rsidRDefault="006D24A0" w:rsidP="006D24A0">
            <w:pPr>
              <w:rPr>
                <w:rFonts w:eastAsia="Calibri" w:cstheme="minorHAnsi"/>
                <w:bCs/>
              </w:rPr>
            </w:pPr>
            <w:r w:rsidRPr="00954E04">
              <w:rPr>
                <w:rFonts w:eastAsia="Calibri" w:cstheme="minorHAnsi"/>
                <w:bCs/>
              </w:rPr>
              <w:t xml:space="preserve">GP Federation </w:t>
            </w:r>
          </w:p>
          <w:p w14:paraId="16760C10" w14:textId="77777777" w:rsidR="006D24A0" w:rsidRPr="00954E04" w:rsidRDefault="006D24A0" w:rsidP="006D24A0">
            <w:pPr>
              <w:rPr>
                <w:rFonts w:eastAsia="Calibri" w:cstheme="minorHAnsi"/>
                <w:bCs/>
                <w:highlight w:val="yellow"/>
              </w:rPr>
            </w:pPr>
            <w:r w:rsidRPr="00954E04">
              <w:rPr>
                <w:rFonts w:eastAsia="Calibri" w:cstheme="minorHAnsi"/>
                <w:bCs/>
                <w:highlight w:val="yellow"/>
              </w:rPr>
              <w:t>Add services they provide</w:t>
            </w:r>
          </w:p>
          <w:p w14:paraId="49B98194" w14:textId="77777777" w:rsidR="006D24A0" w:rsidRPr="00954E04" w:rsidRDefault="006D24A0" w:rsidP="006D24A0">
            <w:pPr>
              <w:rPr>
                <w:rFonts w:eastAsia="Calibri" w:cstheme="minorHAnsi"/>
                <w:bCs/>
                <w:highlight w:val="yellow"/>
              </w:rPr>
            </w:pPr>
            <w:r w:rsidRPr="00954E04">
              <w:rPr>
                <w:rFonts w:eastAsia="Calibri" w:cstheme="minorHAnsi"/>
                <w:bCs/>
                <w:highlight w:val="yellow"/>
              </w:rPr>
              <w:t>GP Extended Access</w:t>
            </w:r>
          </w:p>
          <w:p w14:paraId="6CACD458" w14:textId="77777777" w:rsidR="006D24A0" w:rsidRPr="00954E04" w:rsidRDefault="006D24A0" w:rsidP="006D24A0">
            <w:pPr>
              <w:rPr>
                <w:rFonts w:eastAsia="Calibri" w:cstheme="minorHAnsi"/>
                <w:bCs/>
                <w:highlight w:val="yellow"/>
              </w:rPr>
            </w:pPr>
            <w:r w:rsidRPr="00954E04">
              <w:rPr>
                <w:rFonts w:eastAsia="Calibri" w:cstheme="minorHAnsi"/>
                <w:bCs/>
                <w:highlight w:val="yellow"/>
              </w:rPr>
              <w:t>Video consultations</w:t>
            </w:r>
          </w:p>
          <w:p w14:paraId="3D5B1C0B" w14:textId="77777777" w:rsidR="006D24A0" w:rsidRDefault="006D24A0" w:rsidP="006D24A0">
            <w:pPr>
              <w:rPr>
                <w:rFonts w:eastAsia="Calibri" w:cstheme="minorHAnsi"/>
                <w:bCs/>
              </w:rPr>
            </w:pPr>
            <w:r w:rsidRPr="00954E04">
              <w:rPr>
                <w:rFonts w:eastAsia="Calibri" w:cstheme="minorHAnsi"/>
                <w:bCs/>
                <w:highlight w:val="yellow"/>
              </w:rPr>
              <w:t>Minor injuries services</w:t>
            </w:r>
          </w:p>
          <w:p w14:paraId="6B4FB75F" w14:textId="77777777" w:rsidR="006D24A0" w:rsidRPr="00954E04" w:rsidRDefault="006D24A0" w:rsidP="006D24A0">
            <w:pPr>
              <w:rPr>
                <w:rFonts w:eastAsia="Calibri" w:cstheme="minorHAnsi"/>
                <w:bCs/>
              </w:rPr>
            </w:pPr>
          </w:p>
        </w:tc>
        <w:tc>
          <w:tcPr>
            <w:tcW w:w="6044" w:type="dxa"/>
          </w:tcPr>
          <w:p w14:paraId="6C3AAE7F" w14:textId="58D14799"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821272">
              <w:rPr>
                <w:rFonts w:eastAsia="Calibri" w:cstheme="minorHAnsi"/>
                <w:bCs/>
              </w:rPr>
              <w:t>Rural Rother and Hastings Federation</w:t>
            </w:r>
            <w:r w:rsidR="00821272" w:rsidRPr="00821272">
              <w:rPr>
                <w:rFonts w:eastAsia="Calibri" w:cstheme="minorHAnsi"/>
                <w:bCs/>
              </w:rPr>
              <w:t xml:space="preserve"> </w:t>
            </w:r>
            <w:r w:rsidRPr="00954E04">
              <w:rPr>
                <w:rFonts w:eastAsia="Calibri" w:cstheme="minorHAnsi"/>
                <w:bCs/>
              </w:rPr>
              <w:t>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3B9AF9FF" w:rsidR="006D24A0" w:rsidRPr="00954E04" w:rsidRDefault="006D24A0" w:rsidP="00821272">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821272">
              <w:rPr>
                <w:rFonts w:eastAsia="Calibri" w:cstheme="minorHAnsi"/>
                <w:bCs/>
              </w:rPr>
              <w:t>Rural Rother and Hastings Federation</w:t>
            </w:r>
            <w:r w:rsidR="00821272" w:rsidRPr="00954E04">
              <w:rPr>
                <w:rFonts w:eastAsia="Calibri" w:cstheme="minorHAnsi"/>
                <w:bCs/>
                <w:highlight w:val="yellow"/>
              </w:rPr>
              <w:t xml:space="preserve"> </w:t>
            </w:r>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7FC4953A"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821272">
              <w:rPr>
                <w:rFonts w:eastAsia="Calibri" w:cstheme="minorHAnsi"/>
                <w:bCs/>
              </w:rPr>
              <w:t>Rural Rother PC</w:t>
            </w:r>
            <w:r w:rsidR="00821272" w:rsidRPr="00821272">
              <w:rPr>
                <w:rFonts w:eastAsia="Calibri" w:cstheme="minorHAnsi"/>
                <w:bCs/>
              </w:rPr>
              <w:t xml:space="preserve">N </w:t>
            </w:r>
            <w:r w:rsidRPr="00954E04">
              <w:rPr>
                <w:rFonts w:eastAsia="Calibri" w:cstheme="minorHAnsi"/>
                <w:bCs/>
              </w:rPr>
              <w:t xml:space="preserve">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62164004" w14:textId="77777777" w:rsidR="00821272" w:rsidRPr="00D508C0" w:rsidRDefault="006D24A0" w:rsidP="00821272">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821272" w:rsidRPr="00D508C0">
              <w:rPr>
                <w:rFonts w:eastAsia="Calibri" w:cstheme="minorHAnsi"/>
                <w:bCs/>
              </w:rPr>
              <w:t>Sedlescombe and Westfield Surgeries</w:t>
            </w:r>
          </w:p>
          <w:p w14:paraId="0AA2B7DE" w14:textId="77777777" w:rsidR="00821272" w:rsidRPr="00D508C0" w:rsidRDefault="00821272" w:rsidP="00821272">
            <w:pPr>
              <w:jc w:val="both"/>
              <w:rPr>
                <w:rFonts w:eastAsia="Calibri" w:cstheme="minorHAnsi"/>
                <w:bCs/>
              </w:rPr>
            </w:pPr>
            <w:r w:rsidRPr="00D508C0">
              <w:rPr>
                <w:rFonts w:eastAsia="Calibri" w:cstheme="minorHAnsi"/>
                <w:b/>
                <w:bCs/>
              </w:rPr>
              <w:t xml:space="preserve">                      </w:t>
            </w:r>
            <w:r w:rsidRPr="00D508C0">
              <w:rPr>
                <w:rFonts w:eastAsia="Calibri" w:cstheme="minorHAnsi"/>
                <w:bCs/>
              </w:rPr>
              <w:t>Northiam and Broad Oak Surgeries</w:t>
            </w:r>
          </w:p>
          <w:p w14:paraId="1F746E08" w14:textId="77777777" w:rsidR="00821272" w:rsidRPr="00D508C0" w:rsidRDefault="00821272" w:rsidP="00821272">
            <w:pPr>
              <w:jc w:val="both"/>
              <w:rPr>
                <w:rFonts w:eastAsia="Calibri" w:cstheme="minorHAnsi"/>
                <w:bCs/>
              </w:rPr>
            </w:pPr>
            <w:r w:rsidRPr="00D508C0">
              <w:rPr>
                <w:rFonts w:eastAsia="Calibri" w:cstheme="minorHAnsi"/>
                <w:bCs/>
              </w:rPr>
              <w:t xml:space="preserve">                      Martins Oak Surgery</w:t>
            </w:r>
          </w:p>
          <w:p w14:paraId="50ADED17" w14:textId="77777777" w:rsidR="00821272" w:rsidRPr="00D508C0" w:rsidRDefault="00821272" w:rsidP="00821272">
            <w:pPr>
              <w:jc w:val="both"/>
              <w:rPr>
                <w:rFonts w:eastAsia="Calibri" w:cstheme="minorHAnsi"/>
                <w:bCs/>
              </w:rPr>
            </w:pPr>
            <w:r w:rsidRPr="00D508C0">
              <w:rPr>
                <w:rFonts w:eastAsia="Calibri" w:cstheme="minorHAnsi"/>
                <w:bCs/>
              </w:rPr>
              <w:t xml:space="preserve">                       Ferry Road Surgery</w:t>
            </w:r>
          </w:p>
          <w:p w14:paraId="3B6D706F" w14:textId="77777777" w:rsidR="00821272" w:rsidRPr="00D508C0" w:rsidRDefault="00821272" w:rsidP="00821272">
            <w:pPr>
              <w:jc w:val="both"/>
              <w:rPr>
                <w:rFonts w:eastAsia="Calibri" w:cstheme="minorHAnsi"/>
                <w:bCs/>
              </w:rPr>
            </w:pPr>
            <w:r w:rsidRPr="00D508C0">
              <w:rPr>
                <w:rFonts w:eastAsia="Calibri" w:cstheme="minorHAnsi"/>
                <w:bCs/>
              </w:rPr>
              <w:t xml:space="preserve">                       Rye Medical</w:t>
            </w:r>
          </w:p>
          <w:p w14:paraId="707F2D6F" w14:textId="77777777" w:rsidR="00821272" w:rsidRPr="00D508C0" w:rsidRDefault="00821272" w:rsidP="00821272">
            <w:pPr>
              <w:jc w:val="both"/>
              <w:rPr>
                <w:rFonts w:eastAsia="Calibri" w:cstheme="minorHAnsi"/>
                <w:bCs/>
              </w:rPr>
            </w:pPr>
            <w:r w:rsidRPr="00D508C0">
              <w:rPr>
                <w:rFonts w:eastAsia="Calibri" w:cstheme="minorHAnsi"/>
                <w:bCs/>
              </w:rPr>
              <w:t xml:space="preserve">                       </w:t>
            </w:r>
            <w:proofErr w:type="spellStart"/>
            <w:r w:rsidRPr="00D508C0">
              <w:rPr>
                <w:rFonts w:eastAsia="Calibri" w:cstheme="minorHAnsi"/>
                <w:bCs/>
              </w:rPr>
              <w:t>Robertsbridge</w:t>
            </w:r>
            <w:proofErr w:type="spellEnd"/>
            <w:r w:rsidRPr="00D508C0">
              <w:rPr>
                <w:rFonts w:eastAsia="Calibri" w:cstheme="minorHAnsi"/>
                <w:bCs/>
              </w:rPr>
              <w:t xml:space="preserve"> Surgery</w:t>
            </w:r>
          </w:p>
          <w:p w14:paraId="59FEF6BB" w14:textId="77777777" w:rsidR="00821272" w:rsidRPr="00D508C0" w:rsidRDefault="00821272" w:rsidP="00821272">
            <w:pPr>
              <w:jc w:val="both"/>
              <w:rPr>
                <w:rFonts w:eastAsia="Calibri" w:cstheme="minorHAnsi"/>
                <w:bCs/>
              </w:rPr>
            </w:pPr>
            <w:r w:rsidRPr="00D508C0">
              <w:rPr>
                <w:rFonts w:eastAsia="Calibri" w:cstheme="minorHAnsi"/>
                <w:bCs/>
              </w:rPr>
              <w:lastRenderedPageBreak/>
              <w:t xml:space="preserve">                       Fairfield Surgery</w:t>
            </w:r>
          </w:p>
          <w:p w14:paraId="00C38041" w14:textId="1B635892" w:rsidR="006D24A0" w:rsidRPr="00954E04" w:rsidRDefault="00821272" w:rsidP="00821272">
            <w:pPr>
              <w:jc w:val="both"/>
              <w:rPr>
                <w:rFonts w:eastAsia="Calibri" w:cstheme="minorHAnsi"/>
                <w:b/>
                <w:bCs/>
              </w:rPr>
            </w:pPr>
            <w:r w:rsidRPr="00D508C0">
              <w:rPr>
                <w:rFonts w:eastAsia="Calibri" w:cstheme="minorHAnsi"/>
                <w:bCs/>
              </w:rPr>
              <w:t xml:space="preserve">                       </w:t>
            </w:r>
            <w:proofErr w:type="spellStart"/>
            <w:r w:rsidRPr="00D508C0">
              <w:rPr>
                <w:rFonts w:eastAsia="Calibri" w:cstheme="minorHAnsi"/>
                <w:bCs/>
              </w:rPr>
              <w:t>Burwash</w:t>
            </w:r>
            <w:proofErr w:type="spellEnd"/>
            <w:r w:rsidRPr="00D508C0">
              <w:rPr>
                <w:rFonts w:eastAsia="Calibri" w:cstheme="minorHAnsi"/>
                <w:bCs/>
              </w:rPr>
              <w:t xml:space="preserve"> Surgery</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lastRenderedPageBreak/>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47D17307" w:rsidR="006D24A0" w:rsidRPr="00954E04" w:rsidRDefault="006D24A0" w:rsidP="00821272">
            <w:pPr>
              <w:jc w:val="both"/>
              <w:rPr>
                <w:rFonts w:eastAsia="Calibri" w:cstheme="minorHAnsi"/>
                <w:bCs/>
              </w:rPr>
            </w:pPr>
            <w:r w:rsidRPr="00954E04">
              <w:rPr>
                <w:rFonts w:eastAsia="Calibri" w:cstheme="minorHAnsi"/>
                <w:b/>
                <w:bCs/>
              </w:rPr>
              <w:t xml:space="preserve">Processor – </w:t>
            </w:r>
            <w:r w:rsidR="00821272" w:rsidRPr="00D508C0">
              <w:rPr>
                <w:rFonts w:eastAsia="Calibri" w:cstheme="minorHAnsi"/>
                <w:bCs/>
              </w:rPr>
              <w:t>One You Sussex</w:t>
            </w:r>
            <w:r w:rsidR="00821272" w:rsidRPr="00954E04">
              <w:rPr>
                <w:rFonts w:eastAsia="Calibri" w:cstheme="minorHAnsi"/>
                <w:bCs/>
                <w:highlight w:val="yellow"/>
              </w:rPr>
              <w:t xml:space="preserve"> </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66A4645E" w:rsidR="006D24A0" w:rsidRPr="00954E04" w:rsidRDefault="006D24A0" w:rsidP="006D24A0">
            <w:pPr>
              <w:rPr>
                <w:rFonts w:eastAsia="Calibri" w:cstheme="minorHAnsi"/>
                <w:b/>
                <w:bCs/>
              </w:rPr>
            </w:pPr>
            <w:r w:rsidRPr="00954E04">
              <w:rPr>
                <w:rFonts w:eastAsia="Calibri" w:cstheme="minorHAnsi"/>
                <w:b/>
                <w:bCs/>
              </w:rPr>
              <w:t xml:space="preserve">Processor </w:t>
            </w:r>
            <w:r w:rsidR="00821272">
              <w:rPr>
                <w:rFonts w:eastAsia="Calibri" w:cstheme="minorHAnsi"/>
                <w:b/>
                <w:bCs/>
              </w:rPr>
              <w:t>–</w:t>
            </w:r>
            <w:r w:rsidR="00821272" w:rsidRPr="00821272">
              <w:rPr>
                <w:rFonts w:eastAsia="Calibri" w:cstheme="minorHAnsi"/>
                <w:bCs/>
              </w:rPr>
              <w:t xml:space="preserve">Rural Rother PCN </w:t>
            </w:r>
            <w:r w:rsidRPr="00954E04">
              <w:rPr>
                <w:rFonts w:eastAsia="Calibri" w:cstheme="minorHAnsi"/>
                <w:b/>
                <w:bCs/>
              </w:rPr>
              <w:t xml:space="preserve"> </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377CDAEB" w14:textId="77777777" w:rsidR="003E1630" w:rsidRDefault="006D24A0" w:rsidP="006D24A0">
            <w:pPr>
              <w:jc w:val="both"/>
              <w:rPr>
                <w:rFonts w:eastAsia="Calibri" w:cstheme="minorHAnsi"/>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w:t>
            </w:r>
            <w:r w:rsidR="003E1630">
              <w:rPr>
                <w:rFonts w:eastAsia="Calibri" w:cstheme="minorHAnsi"/>
                <w:bCs/>
              </w:rPr>
              <w:t>:</w:t>
            </w:r>
          </w:p>
          <w:p w14:paraId="4718CADD" w14:textId="66B8E063" w:rsidR="003E1630" w:rsidRPr="003E1630" w:rsidRDefault="006D24A0" w:rsidP="003E1630">
            <w:pPr>
              <w:pStyle w:val="ListParagraph"/>
              <w:numPr>
                <w:ilvl w:val="0"/>
                <w:numId w:val="12"/>
              </w:numPr>
              <w:jc w:val="both"/>
              <w:rPr>
                <w:rFonts w:eastAsia="Calibri" w:cstheme="minorHAnsi"/>
                <w:b/>
                <w:bCs/>
              </w:rPr>
            </w:pPr>
            <w:r w:rsidRPr="003E1630">
              <w:rPr>
                <w:rFonts w:eastAsia="Calibri" w:cstheme="minorHAnsi"/>
                <w:bCs/>
              </w:rPr>
              <w:t xml:space="preserve">Article 6(1)(c) </w:t>
            </w:r>
            <w:r w:rsidR="003E1630">
              <w:rPr>
                <w:rFonts w:eastAsia="Calibri" w:cstheme="minorHAnsi"/>
                <w:bCs/>
              </w:rPr>
              <w:t>– to</w:t>
            </w:r>
            <w:r w:rsidRPr="003E1630">
              <w:rPr>
                <w:rFonts w:eastAsia="Calibri" w:cstheme="minorHAnsi"/>
                <w:bCs/>
              </w:rPr>
              <w:t xml:space="preserve"> comply with a legal obligation</w:t>
            </w:r>
            <w:r w:rsidR="003E1630">
              <w:rPr>
                <w:rFonts w:eastAsia="Calibri" w:cstheme="minorHAnsi"/>
                <w:bCs/>
              </w:rPr>
              <w:t>;</w:t>
            </w:r>
            <w:r w:rsidRPr="003E1630">
              <w:rPr>
                <w:rFonts w:eastAsia="Calibri" w:cstheme="minorHAnsi"/>
                <w:bCs/>
              </w:rPr>
              <w:t xml:space="preserve"> and</w:t>
            </w:r>
          </w:p>
          <w:p w14:paraId="1ACBA037" w14:textId="5D851100" w:rsidR="006D24A0" w:rsidRPr="003E1630" w:rsidRDefault="003E1630" w:rsidP="003E1630">
            <w:pPr>
              <w:pStyle w:val="ListParagraph"/>
              <w:numPr>
                <w:ilvl w:val="0"/>
                <w:numId w:val="12"/>
              </w:numPr>
              <w:rPr>
                <w:rFonts w:eastAsia="Calibri" w:cstheme="minorHAnsi"/>
                <w:b/>
                <w:bCs/>
              </w:rPr>
            </w:pPr>
            <w:r>
              <w:rPr>
                <w:rFonts w:eastAsia="Calibri" w:cstheme="minorHAnsi"/>
                <w:bCs/>
              </w:rPr>
              <w:lastRenderedPageBreak/>
              <w:t>A</w:t>
            </w:r>
            <w:r w:rsidR="006D24A0" w:rsidRPr="003E1630">
              <w:rPr>
                <w:rFonts w:eastAsia="Calibri" w:cstheme="minorHAnsi"/>
                <w:bCs/>
              </w:rPr>
              <w:t>rticle</w:t>
            </w:r>
            <w:r>
              <w:rPr>
                <w:rFonts w:eastAsia="Calibri" w:cstheme="minorHAnsi"/>
                <w:bCs/>
              </w:rPr>
              <w:t xml:space="preserve"> </w:t>
            </w:r>
            <w:r w:rsidR="006D24A0" w:rsidRPr="003E1630">
              <w:rPr>
                <w:rFonts w:eastAsia="Calibri" w:cstheme="minorHAnsi"/>
                <w:bCs/>
              </w:rPr>
              <w:t>9(2</w:t>
            </w:r>
            <w:proofErr w:type="gramStart"/>
            <w:r w:rsidR="006D24A0" w:rsidRPr="003E1630">
              <w:rPr>
                <w:rFonts w:eastAsia="Calibri" w:cstheme="minorHAnsi"/>
                <w:bCs/>
              </w:rPr>
              <w:t>)(</w:t>
            </w:r>
            <w:proofErr w:type="gramEnd"/>
            <w:r w:rsidR="006D24A0" w:rsidRPr="003E1630">
              <w:rPr>
                <w:rFonts w:eastAsia="Calibri" w:cstheme="minorHAnsi"/>
                <w:bCs/>
              </w:rPr>
              <w:t xml:space="preserve">h) </w:t>
            </w:r>
            <w:r>
              <w:rPr>
                <w:rFonts w:eastAsia="Calibri" w:cstheme="minorHAnsi"/>
                <w:bCs/>
              </w:rPr>
              <w:t>– ‘necessary</w:t>
            </w:r>
            <w:r w:rsidRPr="007D0FB5">
              <w:rPr>
                <w:rFonts w:cstheme="minorHAnsi"/>
              </w:rPr>
              <w:t xml:space="preserve"> for the purposes of preventative or occupational medicine</w:t>
            </w:r>
            <w:r>
              <w:rPr>
                <w:rFonts w:cstheme="minorHAnsi"/>
              </w:rPr>
              <w:t>’.</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3A544120" w14:textId="1DD4BE30" w:rsidR="006D24A0" w:rsidRPr="00D44587" w:rsidRDefault="006D24A0" w:rsidP="00821272">
            <w:pPr>
              <w:rPr>
                <w:rFonts w:eastAsia="Calibri" w:cstheme="minorHAnsi"/>
                <w:bCs/>
                <w:highlight w:val="red"/>
              </w:rPr>
            </w:pPr>
            <w:r w:rsidRPr="00821272">
              <w:rPr>
                <w:b/>
                <w:bCs/>
              </w:rPr>
              <w:lastRenderedPageBreak/>
              <w:t>Medical Examiner Service</w:t>
            </w:r>
            <w:r w:rsidR="00821272" w:rsidRPr="00821272">
              <w:rPr>
                <w:b/>
                <w:bCs/>
              </w:rPr>
              <w:t xml:space="preserve"> -</w:t>
            </w:r>
            <w:r w:rsidR="00821272">
              <w:rPr>
                <w:b/>
                <w:bCs/>
              </w:rPr>
              <w:t xml:space="preserve"> </w:t>
            </w:r>
            <w:r w:rsidR="00821272" w:rsidRPr="00D508C0">
              <w:t>East Sussex Healthcare Trust</w:t>
            </w:r>
            <w:r w:rsidR="00821272">
              <w:rPr>
                <w:b/>
                <w:bCs/>
              </w:rPr>
              <w:t xml:space="preserve"> </w:t>
            </w:r>
            <w:r>
              <w:rPr>
                <w:b/>
                <w:bCs/>
              </w:rPr>
              <w:t xml:space="preserve"> </w:t>
            </w:r>
          </w:p>
        </w:tc>
        <w:tc>
          <w:tcPr>
            <w:tcW w:w="6044" w:type="dxa"/>
            <w:shd w:val="clear" w:color="auto" w:fill="auto"/>
          </w:tcPr>
          <w:p w14:paraId="78C9A046" w14:textId="06EC04DD"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w:t>
            </w:r>
            <w:r w:rsidR="00821272">
              <w:rPr>
                <w:color w:val="auto"/>
                <w:sz w:val="22"/>
                <w:szCs w:val="22"/>
                <w:lang w:eastAsia="en-US"/>
              </w:rPr>
              <w:t>East Sussex Healthcare Trus</w:t>
            </w:r>
            <w:r w:rsidR="00821272" w:rsidRPr="00821272">
              <w:rPr>
                <w:color w:val="auto"/>
                <w:sz w:val="22"/>
                <w:szCs w:val="22"/>
                <w:lang w:eastAsia="en-US"/>
              </w:rPr>
              <w:t>t.</w:t>
            </w:r>
            <w:r>
              <w:rPr>
                <w:color w:val="auto"/>
                <w:sz w:val="22"/>
                <w:szCs w:val="22"/>
                <w:lang w:eastAsia="en-US"/>
              </w:rPr>
              <w:t xml:space="preserve"> </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2A26AD4" w14:textId="48C8A9D0" w:rsidR="006D24A0" w:rsidRDefault="006D24A0" w:rsidP="006D24A0">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w:t>
            </w:r>
            <w:r w:rsidR="00821272" w:rsidRPr="00D508C0">
              <w:t xml:space="preserve"> East Sussex Healthcare Trust</w:t>
            </w:r>
          </w:p>
          <w:p w14:paraId="4D533F17" w14:textId="77777777" w:rsidR="006D24A0" w:rsidRPr="00954E04" w:rsidRDefault="006D24A0" w:rsidP="006D24A0">
            <w:pPr>
              <w:jc w:val="both"/>
              <w:rPr>
                <w:rFonts w:eastAsia="Calibri" w:cstheme="minorHAnsi"/>
                <w:b/>
                <w:bCs/>
              </w:rPr>
            </w:pPr>
          </w:p>
        </w:tc>
      </w:tr>
      <w:tr w:rsidR="006D24A0" w:rsidRPr="00954E04" w14:paraId="27D51E78" w14:textId="77777777" w:rsidTr="00AD412F">
        <w:tc>
          <w:tcPr>
            <w:tcW w:w="2972" w:type="dxa"/>
          </w:tcPr>
          <w:p w14:paraId="3E8BDDC3" w14:textId="0D867376" w:rsidR="006D24A0" w:rsidRPr="00954E04" w:rsidRDefault="006D24A0" w:rsidP="00821272">
            <w:pPr>
              <w:rPr>
                <w:rFonts w:eastAsia="Calibri" w:cstheme="minorHAnsi"/>
                <w:bCs/>
              </w:rPr>
            </w:pPr>
            <w:r w:rsidRPr="00821272">
              <w:rPr>
                <w:rFonts w:eastAsia="Calibri" w:cstheme="minorHAnsi"/>
                <w:bCs/>
              </w:rPr>
              <w:t>Non-commissioned, private healthcare providers (e.g. BUPA, Virgin Care, etc.)</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3921C2DC"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Articles 6(1</w:t>
            </w:r>
            <w:proofErr w:type="gramStart"/>
            <w:r>
              <w:rPr>
                <w:rFonts w:eastAsia="Calibri" w:cstheme="minorHAnsi"/>
                <w:bCs/>
              </w:rPr>
              <w:t>)(</w:t>
            </w:r>
            <w:proofErr w:type="gramEnd"/>
            <w:r>
              <w:rPr>
                <w:rFonts w:eastAsia="Calibri" w:cstheme="minorHAnsi"/>
                <w:bCs/>
              </w:rPr>
              <w:t>a) and 9(2)(a</w:t>
            </w:r>
            <w:r w:rsidR="003E1630">
              <w:rPr>
                <w:rFonts w:eastAsia="Calibri" w:cstheme="minorHAnsi"/>
                <w:bCs/>
              </w:rPr>
              <w:t xml:space="preserve">) consent by the patient given </w:t>
            </w:r>
            <w:r w:rsidRPr="00954E04">
              <w:rPr>
                <w:rFonts w:eastAsia="Calibri" w:cstheme="minorHAnsi"/>
                <w:bCs/>
              </w:rPr>
              <w:t xml:space="preserve">under contract </w:t>
            </w:r>
            <w:r w:rsidR="003E1630">
              <w:rPr>
                <w:rFonts w:eastAsia="Calibri" w:cstheme="minorHAnsi"/>
                <w:bCs/>
              </w:rPr>
              <w:t>to the provider.</w:t>
            </w:r>
          </w:p>
          <w:p w14:paraId="3842E5DA" w14:textId="77777777" w:rsidR="006D24A0" w:rsidRPr="00954E04" w:rsidRDefault="006D24A0" w:rsidP="006D24A0">
            <w:pPr>
              <w:jc w:val="both"/>
              <w:rPr>
                <w:rFonts w:eastAsia="Calibri" w:cstheme="minorHAnsi"/>
                <w:bCs/>
              </w:rPr>
            </w:pPr>
          </w:p>
          <w:p w14:paraId="7978BC1A" w14:textId="19F6B395" w:rsidR="006D24A0" w:rsidRPr="00954E04" w:rsidRDefault="006D24A0" w:rsidP="00821272">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 </w:t>
            </w:r>
            <w:r w:rsidR="00821272">
              <w:rPr>
                <w:rFonts w:eastAsia="Calibri" w:cstheme="minorHAnsi"/>
                <w:bCs/>
              </w:rPr>
              <w:t xml:space="preserve">Sussex Premier Health, </w:t>
            </w:r>
            <w:proofErr w:type="spellStart"/>
            <w:r w:rsidR="00821272">
              <w:rPr>
                <w:rFonts w:eastAsia="Calibri" w:cstheme="minorHAnsi"/>
                <w:bCs/>
              </w:rPr>
              <w:t>Benenden</w:t>
            </w:r>
            <w:proofErr w:type="spellEnd"/>
            <w:r w:rsidR="00821272">
              <w:rPr>
                <w:rFonts w:eastAsia="Calibri" w:cstheme="minorHAnsi"/>
                <w:bCs/>
              </w:rPr>
              <w:t xml:space="preserve"> Healthcare, </w:t>
            </w:r>
            <w:proofErr w:type="spellStart"/>
            <w:r w:rsidR="00821272">
              <w:rPr>
                <w:rFonts w:eastAsia="Calibri" w:cstheme="minorHAnsi"/>
                <w:bCs/>
              </w:rPr>
              <w:t>Bupa</w:t>
            </w:r>
            <w:proofErr w:type="spellEnd"/>
            <w:r w:rsidR="00821272">
              <w:rPr>
                <w:rFonts w:eastAsia="Calibri" w:cstheme="minorHAnsi"/>
                <w:bCs/>
              </w:rPr>
              <w:t xml:space="preserve">, Priory. The list is non-exhaustive </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4099C629" w14:textId="45983CD1" w:rsidR="006D24A0" w:rsidRPr="00954E04" w:rsidRDefault="006D24A0" w:rsidP="00821272">
            <w:pPr>
              <w:jc w:val="both"/>
              <w:rPr>
                <w:rFonts w:eastAsia="Calibri" w:cstheme="minorHAnsi"/>
                <w:b/>
                <w:bCs/>
              </w:rPr>
            </w:pPr>
            <w:r w:rsidRPr="00954E04">
              <w:rPr>
                <w:rFonts w:eastAsia="Calibri" w:cstheme="minorHAnsi"/>
                <w:b/>
                <w:bCs/>
              </w:rPr>
              <w:t xml:space="preserve">Provider  - </w:t>
            </w:r>
            <w:proofErr w:type="spellStart"/>
            <w:r w:rsidRPr="00821272">
              <w:rPr>
                <w:rFonts w:eastAsia="Calibri" w:cstheme="minorHAnsi"/>
                <w:bCs/>
              </w:rPr>
              <w:t>AccuRX</w:t>
            </w:r>
            <w:proofErr w:type="spellEnd"/>
            <w:r w:rsidRPr="00821272">
              <w:rPr>
                <w:rFonts w:eastAsia="Calibri" w:cstheme="minorHAnsi"/>
                <w:bCs/>
              </w:rPr>
              <w:t xml:space="preserve"> - NHSAPP, </w:t>
            </w:r>
            <w:proofErr w:type="spellStart"/>
            <w:r w:rsidRPr="00821272">
              <w:rPr>
                <w:rFonts w:eastAsia="Calibri" w:cstheme="minorHAnsi"/>
                <w:bCs/>
              </w:rPr>
              <w:t>econsult</w:t>
            </w:r>
            <w:proofErr w:type="spellEnd"/>
            <w:r w:rsidRPr="00821272">
              <w:rPr>
                <w:rFonts w:eastAsia="Calibri" w:cstheme="minorHAnsi"/>
                <w:bCs/>
              </w:rPr>
              <w:t>, engage consult,</w:t>
            </w:r>
            <w:r>
              <w:rPr>
                <w:rFonts w:eastAsia="Calibri" w:cstheme="minorHAnsi"/>
                <w:bCs/>
              </w:rPr>
              <w:t xml:space="preserve"> </w:t>
            </w:r>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lastRenderedPageBreak/>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58DA7D" w:rsidR="006D24A0" w:rsidRPr="00954E04" w:rsidRDefault="006D24A0" w:rsidP="006D24A0">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w:t>
            </w:r>
            <w:r w:rsidR="00EE02C4">
              <w:rPr>
                <w:rFonts w:eastAsia="Calibri" w:cstheme="minorHAnsi"/>
                <w:bCs/>
              </w:rPr>
              <w:t xml:space="preserve">identifiable </w:t>
            </w:r>
            <w:r w:rsidRPr="00954E04">
              <w:rPr>
                <w:rFonts w:eastAsia="Calibri" w:cstheme="minorHAnsi"/>
                <w:bCs/>
              </w:rPr>
              <w:t>pictures of children.</w:t>
            </w:r>
          </w:p>
          <w:p w14:paraId="32216110" w14:textId="77777777" w:rsidR="006D24A0" w:rsidRPr="00954E04" w:rsidRDefault="006D24A0" w:rsidP="006D24A0">
            <w:pPr>
              <w:jc w:val="both"/>
              <w:rPr>
                <w:rFonts w:eastAsia="Calibri" w:cstheme="minorHAnsi"/>
                <w:b/>
                <w:bCs/>
              </w:rPr>
            </w:pPr>
          </w:p>
          <w:p w14:paraId="45957FCC" w14:textId="337EAFAE" w:rsidR="006D24A0" w:rsidRPr="00954E04" w:rsidRDefault="006D24A0" w:rsidP="006D24A0">
            <w:pPr>
              <w:jc w:val="both"/>
              <w:rPr>
                <w:rFonts w:ascii="Calibri" w:eastAsia="Calibri" w:hAnsi="Calibri" w:cstheme="minorHAnsi"/>
                <w:bCs/>
              </w:rPr>
            </w:pPr>
            <w:r w:rsidRPr="00954E04">
              <w:rPr>
                <w:rFonts w:eastAsia="Calibri" w:cstheme="minorHAnsi"/>
                <w:b/>
                <w:bCs/>
              </w:rPr>
              <w:t xml:space="preserve">Processor </w:t>
            </w:r>
            <w:r w:rsidRPr="00821272">
              <w:rPr>
                <w:rFonts w:eastAsia="Calibri" w:cstheme="minorHAnsi"/>
                <w:b/>
                <w:bCs/>
              </w:rPr>
              <w:t xml:space="preserve">– </w:t>
            </w:r>
            <w:r w:rsidRPr="00821272">
              <w:rPr>
                <w:rFonts w:eastAsia="Calibri" w:cstheme="minorHAnsi"/>
                <w:bCs/>
              </w:rPr>
              <w:t xml:space="preserve">e-Consult, </w:t>
            </w:r>
            <w:proofErr w:type="spellStart"/>
            <w:r w:rsidR="00821272">
              <w:rPr>
                <w:rFonts w:eastAsia="Calibri" w:cstheme="minorHAnsi"/>
                <w:bCs/>
              </w:rPr>
              <w:t>AccuRX</w:t>
            </w:r>
            <w:proofErr w:type="spellEnd"/>
            <w:r w:rsidR="00821272">
              <w:rPr>
                <w:rFonts w:eastAsia="Calibri" w:cstheme="minorHAnsi"/>
                <w:bCs/>
              </w:rPr>
              <w:t xml:space="preserve">, </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6BD51C8C" w:rsidR="006D24A0" w:rsidRPr="00954E04" w:rsidRDefault="006D24A0" w:rsidP="00821272">
            <w:pPr>
              <w:jc w:val="both"/>
              <w:rPr>
                <w:rFonts w:eastAsia="Calibri" w:cstheme="minorHAnsi"/>
                <w:b/>
                <w:bCs/>
              </w:rPr>
            </w:pPr>
            <w:r w:rsidRPr="00954E04">
              <w:rPr>
                <w:rFonts w:eastAsia="Calibri" w:cstheme="minorHAnsi"/>
                <w:b/>
                <w:bCs/>
              </w:rPr>
              <w:t xml:space="preserve">Processor – </w:t>
            </w:r>
            <w:r w:rsidR="00821272" w:rsidRPr="00FF0225">
              <w:rPr>
                <w:rFonts w:eastAsia="Calibri" w:cstheme="minorHAnsi"/>
                <w:bCs/>
              </w:rPr>
              <w:t>East Sussex Healthcare Trust, Adult Social Care, Hospice at home,</w:t>
            </w:r>
            <w:r w:rsidR="00821272">
              <w:rPr>
                <w:rFonts w:eastAsia="Calibri" w:cstheme="minorHAnsi"/>
                <w:b/>
                <w:bCs/>
              </w:rPr>
              <w:t xml:space="preserve"> </w:t>
            </w:r>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At risk patients data collection Version 3</w:t>
            </w:r>
          </w:p>
          <w:p w14:paraId="3C58A9DE" w14:textId="08532423" w:rsidR="006D24A0" w:rsidRPr="00954E04" w:rsidRDefault="006D24A0" w:rsidP="006D24A0">
            <w:pPr>
              <w:numPr>
                <w:ilvl w:val="0"/>
                <w:numId w:val="2"/>
              </w:numPr>
              <w:contextualSpacing/>
            </w:pPr>
            <w:r w:rsidRPr="00954E04">
              <w:t>CVDPREVENT Audit</w:t>
            </w:r>
          </w:p>
          <w:p w14:paraId="795AF090" w14:textId="77777777" w:rsidR="006D24A0" w:rsidRDefault="006D24A0" w:rsidP="006D24A0">
            <w:pPr>
              <w:numPr>
                <w:ilvl w:val="0"/>
                <w:numId w:val="2"/>
              </w:numPr>
              <w:contextualSpacing/>
            </w:pPr>
            <w:r w:rsidRPr="00954E04">
              <w:t>Physical Health Checks for people with Severe Mental Illness</w:t>
            </w:r>
          </w:p>
          <w:p w14:paraId="30796B5D" w14:textId="64E5B058" w:rsidR="00DB541B" w:rsidRPr="00954E04" w:rsidRDefault="00DB541B" w:rsidP="006D24A0">
            <w:pPr>
              <w:numPr>
                <w:ilvl w:val="0"/>
                <w:numId w:val="2"/>
              </w:numPr>
              <w:contextualSpacing/>
            </w:pPr>
            <w:r>
              <w:t>National Obesity Audit</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4275C2" w:rsidP="006D24A0">
            <w:pPr>
              <w:numPr>
                <w:ilvl w:val="0"/>
                <w:numId w:val="3"/>
              </w:numPr>
              <w:contextualSpacing/>
            </w:pPr>
            <w:hyperlink r:id="rId12"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4275C2" w:rsidP="006D24A0">
            <w:pPr>
              <w:numPr>
                <w:ilvl w:val="0"/>
                <w:numId w:val="3"/>
              </w:numPr>
              <w:contextualSpacing/>
            </w:pPr>
            <w:hyperlink r:id="rId13"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2E981DAF" w:rsidR="006D24A0" w:rsidRDefault="004275C2" w:rsidP="006D24A0">
            <w:pPr>
              <w:numPr>
                <w:ilvl w:val="0"/>
                <w:numId w:val="3"/>
              </w:numPr>
              <w:contextualSpacing/>
            </w:pPr>
            <w:hyperlink r:id="rId14" w:history="1">
              <w:r w:rsidR="006D24A0" w:rsidRPr="00954E04">
                <w:rPr>
                  <w:color w:val="0000FF" w:themeColor="hyperlink"/>
                  <w:u w:val="single"/>
                </w:rPr>
                <w:t>GPES Physical Health Checks for people with Severe Mental Illness (PHSMI) data collection</w:t>
              </w:r>
            </w:hyperlink>
            <w:r w:rsidR="006D24A0" w:rsidRPr="00954E04">
              <w:t>.</w:t>
            </w:r>
          </w:p>
          <w:p w14:paraId="4885BC5F" w14:textId="77777777" w:rsidR="00DB541B" w:rsidRDefault="00DB541B" w:rsidP="00DB541B">
            <w:pPr>
              <w:pStyle w:val="ListParagraph"/>
            </w:pPr>
          </w:p>
          <w:p w14:paraId="1CB78C15" w14:textId="5B73AC5D" w:rsidR="00DB541B" w:rsidRPr="00954E04" w:rsidRDefault="004275C2" w:rsidP="006D24A0">
            <w:pPr>
              <w:numPr>
                <w:ilvl w:val="0"/>
                <w:numId w:val="3"/>
              </w:numPr>
              <w:contextualSpacing/>
            </w:pPr>
            <w:hyperlink r:id="rId15" w:history="1">
              <w:r w:rsidR="00DB541B">
                <w:rPr>
                  <w:rStyle w:val="Hyperlink"/>
                </w:rPr>
                <w:t>National Obesity Audit - NHS Digital</w:t>
              </w:r>
            </w:hyperlink>
          </w:p>
          <w:p w14:paraId="2B156C70" w14:textId="77777777" w:rsidR="006D24A0" w:rsidRPr="00954E04" w:rsidRDefault="006D24A0" w:rsidP="006D24A0"/>
          <w:p w14:paraId="6FEDDD1A" w14:textId="0AA79836" w:rsidR="006D24A0" w:rsidRDefault="006D24A0" w:rsidP="006D24A0">
            <w:r w:rsidRPr="00954E04">
              <w:rPr>
                <w:b/>
                <w:bCs/>
              </w:rPr>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can be found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should be made directly to NHS </w:t>
            </w:r>
            <w:r>
              <w:t>England</w:t>
            </w:r>
            <w:r w:rsidRPr="00954E04">
              <w:t xml:space="preserve">.  </w:t>
            </w:r>
            <w:hyperlink r:id="rId16"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lastRenderedPageBreak/>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5C3626E6" w14:textId="77777777" w:rsidTr="00AD412F">
        <w:tc>
          <w:tcPr>
            <w:tcW w:w="2972" w:type="dxa"/>
          </w:tcPr>
          <w:p w14:paraId="73533ABE" w14:textId="77777777" w:rsidR="006D24A0" w:rsidRPr="00760EF7" w:rsidRDefault="006D24A0" w:rsidP="006D24A0">
            <w:r w:rsidRPr="00821272">
              <w:t>Professional Training</w:t>
            </w:r>
          </w:p>
        </w:tc>
        <w:tc>
          <w:tcPr>
            <w:tcW w:w="6044" w:type="dxa"/>
          </w:tcPr>
          <w:p w14:paraId="5B0185D4" w14:textId="77777777" w:rsidR="006D24A0" w:rsidRPr="00760EF7" w:rsidRDefault="006D24A0" w:rsidP="006D24A0">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Pr>
                <w:bCs/>
              </w:rPr>
              <w:t>, pharmacists or other clinical team to assist with their training as a clinical professional</w:t>
            </w:r>
            <w:r w:rsidRPr="00760EF7">
              <w:rPr>
                <w:bCs/>
              </w:rPr>
              <w:t>. You may also be asked if you would be happy to have a consultation recorded for training purposes. These recordings will be shared and discussed with training GPs at the surgery, and also with moderators at the RCGP and HEE.</w:t>
            </w:r>
          </w:p>
          <w:p w14:paraId="55760E3E" w14:textId="77777777" w:rsidR="006D24A0" w:rsidRDefault="006D24A0" w:rsidP="006D24A0">
            <w:pPr>
              <w:rPr>
                <w:b/>
                <w:bCs/>
              </w:rPr>
            </w:pPr>
          </w:p>
          <w:p w14:paraId="7F9545DF" w14:textId="7D87D428" w:rsidR="007D0FB5" w:rsidRDefault="007D0FB5" w:rsidP="007D0FB5">
            <w:pPr>
              <w:jc w:val="both"/>
              <w:rPr>
                <w:rFonts w:ascii="Calibri" w:hAnsi="Calibri" w:cs="Calibri"/>
              </w:rPr>
            </w:pPr>
            <w:r w:rsidRPr="007D0FB5">
              <w:rPr>
                <w:rFonts w:ascii="Calibri" w:hAnsi="Calibri" w:cs="Calibri"/>
                <w:b/>
                <w:bCs/>
              </w:rPr>
              <w:t>Legal Basis</w:t>
            </w:r>
            <w:r w:rsidRPr="007D0FB5">
              <w:rPr>
                <w:rFonts w:ascii="Calibri" w:hAnsi="Calibri" w:cs="Calibri"/>
              </w:rPr>
              <w:t xml:space="preserve"> – </w:t>
            </w:r>
          </w:p>
          <w:p w14:paraId="3B9C85B4" w14:textId="281492A2" w:rsidR="00EB1B24" w:rsidRPr="00EB1B24" w:rsidRDefault="00EB1B24" w:rsidP="002A1472">
            <w:pPr>
              <w:pStyle w:val="ListParagraph"/>
              <w:numPr>
                <w:ilvl w:val="0"/>
                <w:numId w:val="13"/>
              </w:numPr>
              <w:jc w:val="both"/>
              <w:rPr>
                <w:rFonts w:eastAsia="Calibri" w:cstheme="minorHAnsi"/>
                <w:bCs/>
              </w:rPr>
            </w:pPr>
            <w:r w:rsidRPr="00EB1B24">
              <w:rPr>
                <w:bCs/>
              </w:rPr>
              <w:t>6 1 (a) consent, patients will be asked if they wish to</w:t>
            </w:r>
            <w:r>
              <w:rPr>
                <w:bCs/>
              </w:rPr>
              <w:t xml:space="preserve"> take part in training sessions</w:t>
            </w:r>
          </w:p>
          <w:p w14:paraId="1CA6795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398AE0A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EB0CC3" w14:textId="77777777" w:rsidR="006D24A0" w:rsidRPr="00760EF7" w:rsidRDefault="006D24A0" w:rsidP="006D24A0">
            <w:pPr>
              <w:rPr>
                <w:bCs/>
              </w:rPr>
            </w:pPr>
          </w:p>
          <w:p w14:paraId="455557AD" w14:textId="77777777" w:rsidR="006D24A0" w:rsidRPr="00760EF7" w:rsidRDefault="006D24A0" w:rsidP="006D24A0">
            <w:pPr>
              <w:rPr>
                <w:bCs/>
              </w:rPr>
            </w:pPr>
            <w:r w:rsidRPr="00760EF7">
              <w:rPr>
                <w:bCs/>
              </w:rPr>
              <w:t>Recordings remain the control of the GP practice and they will delete all recordings from the secure site once they are no longer required.</w:t>
            </w:r>
          </w:p>
          <w:p w14:paraId="76116295" w14:textId="77777777" w:rsidR="006D24A0" w:rsidRPr="00760EF7" w:rsidRDefault="006D24A0" w:rsidP="006D24A0">
            <w:pPr>
              <w:rPr>
                <w:bCs/>
              </w:rPr>
            </w:pPr>
          </w:p>
          <w:p w14:paraId="13FFED0F" w14:textId="4E9EA9AE" w:rsidR="006D24A0" w:rsidRPr="00703C18" w:rsidRDefault="006D24A0" w:rsidP="00821272">
            <w:pPr>
              <w:rPr>
                <w:bCs/>
              </w:rPr>
            </w:pPr>
            <w:r w:rsidRPr="00760EF7">
              <w:rPr>
                <w:b/>
                <w:bCs/>
              </w:rPr>
              <w:t>Processor</w:t>
            </w:r>
            <w:r w:rsidRPr="00760EF7">
              <w:rPr>
                <w:bCs/>
              </w:rPr>
              <w:t xml:space="preserve"> –</w:t>
            </w:r>
            <w:r w:rsidR="00821272">
              <w:rPr>
                <w:bCs/>
              </w:rPr>
              <w:t xml:space="preserve"> Not applicable at this time (non-training practice)</w:t>
            </w:r>
            <w:r w:rsidRPr="00760EF7">
              <w:rPr>
                <w:bCs/>
              </w:rPr>
              <w:t xml:space="preserve"> </w:t>
            </w:r>
          </w:p>
        </w:tc>
      </w:tr>
      <w:tr w:rsidR="006D24A0" w:rsidRPr="00954E04" w14:paraId="246CB3E6" w14:textId="77777777" w:rsidTr="00AD412F">
        <w:trPr>
          <w:trHeight w:val="3818"/>
        </w:trPr>
        <w:tc>
          <w:tcPr>
            <w:tcW w:w="2972" w:type="dxa"/>
          </w:tcPr>
          <w:p w14:paraId="247F2637" w14:textId="77777777" w:rsidR="006D24A0" w:rsidRPr="00760EF7" w:rsidRDefault="006D24A0" w:rsidP="006D24A0">
            <w:r w:rsidRPr="00821272">
              <w:lastRenderedPageBreak/>
              <w:t>Telephony</w:t>
            </w:r>
          </w:p>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use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330C1628" w:rsidR="006D24A0" w:rsidRPr="00760EF7" w:rsidRDefault="006D24A0" w:rsidP="00821272">
            <w:pPr>
              <w:rPr>
                <w:bCs/>
              </w:rPr>
            </w:pPr>
            <w:r w:rsidRPr="00760EF7">
              <w:rPr>
                <w:b/>
                <w:bCs/>
              </w:rPr>
              <w:t>Provider –</w:t>
            </w:r>
            <w:proofErr w:type="spellStart"/>
            <w:r w:rsidRPr="00821272">
              <w:rPr>
                <w:bCs/>
              </w:rPr>
              <w:t>LouisComm</w:t>
            </w:r>
            <w:proofErr w:type="spellEnd"/>
          </w:p>
        </w:tc>
      </w:tr>
      <w:tr w:rsidR="006D24A0" w:rsidRPr="00954E04" w14:paraId="0342850A" w14:textId="77777777" w:rsidTr="00AD412F">
        <w:tc>
          <w:tcPr>
            <w:tcW w:w="2972" w:type="dxa"/>
          </w:tcPr>
          <w:p w14:paraId="793E41E9" w14:textId="77777777" w:rsidR="006D24A0" w:rsidRPr="00821272" w:rsidRDefault="006D24A0" w:rsidP="006D24A0">
            <w:r w:rsidRPr="00821272">
              <w:t>Learning Disability Mortality Programme</w:t>
            </w:r>
          </w:p>
          <w:p w14:paraId="64739329" w14:textId="67B86112" w:rsidR="006D24A0" w:rsidRPr="00821272" w:rsidRDefault="006D24A0" w:rsidP="006D24A0">
            <w:proofErr w:type="spellStart"/>
            <w:r w:rsidRPr="00821272">
              <w:t>LeDer</w:t>
            </w:r>
            <w:proofErr w:type="spellEnd"/>
            <w:r w:rsidRPr="00821272">
              <w:t xml:space="preserve">  </w:t>
            </w:r>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r w:rsidRPr="00954E04">
              <w:rPr>
                <w:b/>
                <w:bCs/>
              </w:rPr>
              <w:t>Processor :</w:t>
            </w:r>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0" w:name="_Hlk78289214"/>
            <w:r>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of systems including </w:t>
            </w:r>
            <w:hyperlink r:id="rId17"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lastRenderedPageBreak/>
              <w:t xml:space="preserve">Where data is used for secondary uses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is used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3E9989E7" w14:textId="77777777" w:rsidR="00821272" w:rsidRDefault="006D24A0" w:rsidP="00821272">
            <w:r>
              <w:lastRenderedPageBreak/>
              <w:t>Local shared care record</w:t>
            </w:r>
          </w:p>
          <w:p w14:paraId="28C1FDFD" w14:textId="61E8E4AC" w:rsidR="006D24A0" w:rsidRDefault="006D24A0" w:rsidP="00821272">
            <w:r>
              <w:t xml:space="preserve"> </w:t>
            </w:r>
            <w:r w:rsidR="00821272" w:rsidRPr="000B4F9E">
              <w:rPr>
                <w:b/>
              </w:rPr>
              <w:t xml:space="preserve">NHS </w:t>
            </w:r>
            <w:r w:rsidR="00821272">
              <w:rPr>
                <w:b/>
              </w:rPr>
              <w:t>England</w:t>
            </w:r>
            <w:r w:rsidR="00821272">
              <w:t xml:space="preserve"> </w:t>
            </w:r>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3F56498E" w:rsidR="006D24A0" w:rsidRDefault="006D24A0" w:rsidP="006D24A0">
            <w:pPr>
              <w:rPr>
                <w:b/>
              </w:rPr>
            </w:pPr>
            <w:r>
              <w:rPr>
                <w:b/>
              </w:rPr>
              <w:t xml:space="preserve">Processor: </w:t>
            </w:r>
            <w:r w:rsidR="00821272" w:rsidRPr="000B4F9E">
              <w:rPr>
                <w:b/>
              </w:rPr>
              <w:t xml:space="preserve">NHS </w:t>
            </w:r>
            <w:r w:rsidR="00821272">
              <w:rPr>
                <w:b/>
              </w:rPr>
              <w:t>England</w:t>
            </w:r>
          </w:p>
        </w:tc>
      </w:tr>
      <w:bookmarkEnd w:id="0"/>
      <w:tr w:rsidR="006D24A0" w:rsidRPr="00954E04" w14:paraId="19222211" w14:textId="77777777" w:rsidTr="00AD412F">
        <w:tc>
          <w:tcPr>
            <w:tcW w:w="2972" w:type="dxa"/>
          </w:tcPr>
          <w:p w14:paraId="24C312CC" w14:textId="77777777" w:rsidR="006D24A0" w:rsidRPr="00954E04" w:rsidRDefault="006D24A0" w:rsidP="006D24A0">
            <w:r w:rsidRPr="00821272">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77777777" w:rsidR="006D24A0" w:rsidRPr="00E12637" w:rsidRDefault="006D24A0" w:rsidP="006D24A0">
            <w:pPr>
              <w:rPr>
                <w:bCs/>
              </w:rPr>
            </w:pPr>
            <w:r w:rsidRPr="00E70EFA">
              <w:rPr>
                <w:b/>
              </w:rPr>
              <w:t xml:space="preserve">Processor </w:t>
            </w:r>
            <w:r>
              <w:rPr>
                <w:bCs/>
              </w:rPr>
              <w:t xml:space="preserve">: </w:t>
            </w:r>
            <w:proofErr w:type="spellStart"/>
            <w:r w:rsidRPr="00821272">
              <w:rPr>
                <w:bCs/>
              </w:rPr>
              <w:t>LumiraDX</w:t>
            </w:r>
            <w:proofErr w:type="spellEnd"/>
            <w:r w:rsidRPr="00821272">
              <w:rPr>
                <w:bCs/>
              </w:rPr>
              <w:t xml:space="preserve"> </w:t>
            </w:r>
            <w:proofErr w:type="spellStart"/>
            <w:r w:rsidRPr="00821272">
              <w:rPr>
                <w:bCs/>
              </w:rPr>
              <w:t>INRStar</w:t>
            </w:r>
            <w:proofErr w:type="spellEnd"/>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71AC7559"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lastRenderedPageBreak/>
        <w:t>We keep our Privacy Notice under regular review.</w:t>
      </w:r>
      <w:r w:rsidR="00F95036">
        <w:rPr>
          <w:rFonts w:eastAsia="Times New Roman" w:cstheme="minorHAnsi"/>
          <w:color w:val="000000" w:themeColor="text1"/>
          <w:lang w:val="en-US" w:eastAsia="en-GB"/>
        </w:rPr>
        <w:t xml:space="preserve"> This notice was last reviewed in</w:t>
      </w:r>
      <w:r w:rsidR="00D608F7">
        <w:rPr>
          <w:rFonts w:eastAsia="Times New Roman" w:cstheme="minorHAnsi"/>
          <w:color w:val="000000" w:themeColor="text1"/>
          <w:lang w:val="en-US" w:eastAsia="en-GB"/>
        </w:rPr>
        <w:t xml:space="preserve"> </w:t>
      </w:r>
      <w:r w:rsidR="00CD5254">
        <w:rPr>
          <w:rFonts w:eastAsia="Times New Roman" w:cstheme="minorHAnsi"/>
          <w:color w:val="000000" w:themeColor="text1"/>
          <w:lang w:val="en-US" w:eastAsia="en-GB"/>
        </w:rPr>
        <w:t>November</w:t>
      </w:r>
      <w:r w:rsidR="00054535">
        <w:rPr>
          <w:rFonts w:eastAsia="Times New Roman" w:cstheme="minorHAnsi"/>
          <w:color w:val="000000" w:themeColor="text1"/>
          <w:lang w:val="en-US" w:eastAsia="en-GB"/>
        </w:rPr>
        <w:t xml:space="preserve">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p w14:paraId="10FEECD6" w14:textId="77777777" w:rsidR="00FB0D05" w:rsidRDefault="00FB0D05"/>
    <w:sectPr w:rsidR="00FB0D0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FCD9" w14:textId="77777777" w:rsidR="004275C2" w:rsidRDefault="0042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42B5" w14:textId="77777777" w:rsidR="00BC50D8" w:rsidRDefault="00BC50D8">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18893632" w:rsidR="00BC50D8" w:rsidRDefault="00BC50D8">
    <w:pPr>
      <w:pStyle w:val="Footer"/>
    </w:pPr>
    <w:r>
      <w:t>Appendix A – GP Privacy Notice V</w:t>
    </w:r>
    <w:r w:rsidR="00B3249D">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9B1E" w14:textId="77777777" w:rsidR="004275C2" w:rsidRDefault="0042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67DD" w14:textId="77777777" w:rsidR="004275C2" w:rsidRDefault="00427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B2E0" w14:textId="260512AE" w:rsidR="00BC50D8" w:rsidRPr="004275C2" w:rsidRDefault="004275C2" w:rsidP="004275C2">
    <w:pPr>
      <w:pStyle w:val="Header"/>
      <w:jc w:val="right"/>
    </w:pPr>
    <w:bookmarkStart w:id="1" w:name="_GoBack"/>
    <w:bookmarkEnd w:id="1"/>
    <w:r>
      <w:t xml:space="preserve">Sedlescombe and Westfield Surgeries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6979" w14:textId="77777777" w:rsidR="004275C2" w:rsidRDefault="0042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1AB"/>
    <w:multiLevelType w:val="hybridMultilevel"/>
    <w:tmpl w:val="7AA4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2732B9"/>
    <w:multiLevelType w:val="hybridMultilevel"/>
    <w:tmpl w:val="3D8C8B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6"/>
  </w:num>
  <w:num w:numId="6">
    <w:abstractNumId w:val="12"/>
  </w:num>
  <w:num w:numId="7">
    <w:abstractNumId w:val="1"/>
  </w:num>
  <w:num w:numId="8">
    <w:abstractNumId w:val="11"/>
  </w:num>
  <w:num w:numId="9">
    <w:abstractNumId w:val="8"/>
  </w:num>
  <w:num w:numId="10">
    <w:abstractNumId w:val="4"/>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31D32"/>
    <w:rsid w:val="00054535"/>
    <w:rsid w:val="000559D2"/>
    <w:rsid w:val="00062456"/>
    <w:rsid w:val="00070977"/>
    <w:rsid w:val="00075938"/>
    <w:rsid w:val="000B1FBD"/>
    <w:rsid w:val="000B4F9E"/>
    <w:rsid w:val="000C022F"/>
    <w:rsid w:val="000C1122"/>
    <w:rsid w:val="000D063B"/>
    <w:rsid w:val="000D0ADB"/>
    <w:rsid w:val="0012209A"/>
    <w:rsid w:val="00125E31"/>
    <w:rsid w:val="0016008F"/>
    <w:rsid w:val="00196EFB"/>
    <w:rsid w:val="001B38AE"/>
    <w:rsid w:val="001C176E"/>
    <w:rsid w:val="001F5522"/>
    <w:rsid w:val="00211D4E"/>
    <w:rsid w:val="00250E21"/>
    <w:rsid w:val="00254F48"/>
    <w:rsid w:val="002758F4"/>
    <w:rsid w:val="00280886"/>
    <w:rsid w:val="00296933"/>
    <w:rsid w:val="002A23F0"/>
    <w:rsid w:val="002B05A9"/>
    <w:rsid w:val="002E0251"/>
    <w:rsid w:val="002F2E2E"/>
    <w:rsid w:val="0033147B"/>
    <w:rsid w:val="0036496C"/>
    <w:rsid w:val="00374DFC"/>
    <w:rsid w:val="00376A3F"/>
    <w:rsid w:val="003774A3"/>
    <w:rsid w:val="00380AF8"/>
    <w:rsid w:val="003A4D37"/>
    <w:rsid w:val="003A79D5"/>
    <w:rsid w:val="003B3436"/>
    <w:rsid w:val="003B4E54"/>
    <w:rsid w:val="003D2DA9"/>
    <w:rsid w:val="003E1630"/>
    <w:rsid w:val="00420D53"/>
    <w:rsid w:val="004275C2"/>
    <w:rsid w:val="00437C2E"/>
    <w:rsid w:val="00446A8E"/>
    <w:rsid w:val="00466A4F"/>
    <w:rsid w:val="004A414D"/>
    <w:rsid w:val="004C3AAC"/>
    <w:rsid w:val="004C658D"/>
    <w:rsid w:val="004F3B41"/>
    <w:rsid w:val="004F7731"/>
    <w:rsid w:val="0053543D"/>
    <w:rsid w:val="00572456"/>
    <w:rsid w:val="00581B5F"/>
    <w:rsid w:val="005B4A31"/>
    <w:rsid w:val="005C12D6"/>
    <w:rsid w:val="005D5956"/>
    <w:rsid w:val="0061658B"/>
    <w:rsid w:val="006317AE"/>
    <w:rsid w:val="006319B1"/>
    <w:rsid w:val="006324ED"/>
    <w:rsid w:val="006328B5"/>
    <w:rsid w:val="00652657"/>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03AF"/>
    <w:rsid w:val="00807DA7"/>
    <w:rsid w:val="008111C5"/>
    <w:rsid w:val="0081508E"/>
    <w:rsid w:val="00821272"/>
    <w:rsid w:val="00832B9F"/>
    <w:rsid w:val="00834B6F"/>
    <w:rsid w:val="00856678"/>
    <w:rsid w:val="0087607D"/>
    <w:rsid w:val="00891273"/>
    <w:rsid w:val="008A0658"/>
    <w:rsid w:val="008B1236"/>
    <w:rsid w:val="008B203B"/>
    <w:rsid w:val="008D3D82"/>
    <w:rsid w:val="008F375A"/>
    <w:rsid w:val="00902769"/>
    <w:rsid w:val="00944040"/>
    <w:rsid w:val="00954E04"/>
    <w:rsid w:val="00954EDA"/>
    <w:rsid w:val="00975570"/>
    <w:rsid w:val="0099393D"/>
    <w:rsid w:val="009E079A"/>
    <w:rsid w:val="009E3115"/>
    <w:rsid w:val="009E638D"/>
    <w:rsid w:val="00A126AF"/>
    <w:rsid w:val="00AA0BD9"/>
    <w:rsid w:val="00AA1834"/>
    <w:rsid w:val="00AA2EE5"/>
    <w:rsid w:val="00AA53E1"/>
    <w:rsid w:val="00AC56E0"/>
    <w:rsid w:val="00AD412F"/>
    <w:rsid w:val="00AE6C65"/>
    <w:rsid w:val="00AE6F95"/>
    <w:rsid w:val="00B15684"/>
    <w:rsid w:val="00B3249D"/>
    <w:rsid w:val="00B43102"/>
    <w:rsid w:val="00B5292B"/>
    <w:rsid w:val="00B64E34"/>
    <w:rsid w:val="00B97912"/>
    <w:rsid w:val="00BB2FC9"/>
    <w:rsid w:val="00BB7935"/>
    <w:rsid w:val="00BC50D8"/>
    <w:rsid w:val="00C058D2"/>
    <w:rsid w:val="00C13251"/>
    <w:rsid w:val="00C1555E"/>
    <w:rsid w:val="00C53F1F"/>
    <w:rsid w:val="00C761F4"/>
    <w:rsid w:val="00C8563C"/>
    <w:rsid w:val="00C9513D"/>
    <w:rsid w:val="00CD5254"/>
    <w:rsid w:val="00CE7BEB"/>
    <w:rsid w:val="00CF58A3"/>
    <w:rsid w:val="00D1039F"/>
    <w:rsid w:val="00D10832"/>
    <w:rsid w:val="00D11933"/>
    <w:rsid w:val="00D17811"/>
    <w:rsid w:val="00D44587"/>
    <w:rsid w:val="00D53DB7"/>
    <w:rsid w:val="00D608F7"/>
    <w:rsid w:val="00D700FB"/>
    <w:rsid w:val="00D72537"/>
    <w:rsid w:val="00DB541B"/>
    <w:rsid w:val="00DC294A"/>
    <w:rsid w:val="00DE6928"/>
    <w:rsid w:val="00DF059C"/>
    <w:rsid w:val="00E12637"/>
    <w:rsid w:val="00E1332B"/>
    <w:rsid w:val="00E26A8A"/>
    <w:rsid w:val="00E476C3"/>
    <w:rsid w:val="00E70EFA"/>
    <w:rsid w:val="00E71340"/>
    <w:rsid w:val="00E80A35"/>
    <w:rsid w:val="00E86F49"/>
    <w:rsid w:val="00E94B61"/>
    <w:rsid w:val="00EB1B24"/>
    <w:rsid w:val="00EE02C4"/>
    <w:rsid w:val="00EE2824"/>
    <w:rsid w:val="00EF4690"/>
    <w:rsid w:val="00F05CC2"/>
    <w:rsid w:val="00F07ECC"/>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digital.nhs.uk/about-nhs-digital/corporate-information-and-documents/directions-and-data-provision-notices/data-provision-notices-dpns/cardiovascular-disease-prevention-au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covid-19-at-risk-patients-data-provision-notice" TargetMode="External"/><Relationship Id="rId17" Type="http://schemas.openxmlformats.org/officeDocument/2006/relationships/hyperlink" Target="https://digital.nhs.uk/data-and-information/keeping-data-safe-and-benefitting-the-public/gdpr/gdpr-register/gp-conn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nhsdigital.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national-obesity-audit?_cldee=MTwqTidD6GQfIUy1RoyIAa-PVa1wntrwim2UURsv-ZqlFQ8QJr4WWoWSwm9kKfGQJQGlt3tFOclBv0ElImRPLA&amp;recipientid=lead-06d96b2b497eee1181790022481b54df-b15fddd95abc4713a5585bcb5b5d5581&amp;esid=43a10bae-8b0e-ee11-8f6e-002248c87a5b" TargetMode="External"/><Relationship Id="rId23" Type="http://schemas.openxmlformats.org/officeDocument/2006/relationships/footer" Target="footer3.xm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37CB-27F9-4020-947B-95771BFA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Henham Kelly (PCN)</cp:lastModifiedBy>
  <cp:revision>4</cp:revision>
  <dcterms:created xsi:type="dcterms:W3CDTF">2024-01-19T13:09:00Z</dcterms:created>
  <dcterms:modified xsi:type="dcterms:W3CDTF">2024-01-19T13:31:00Z</dcterms:modified>
</cp:coreProperties>
</file>